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3348" w14:textId="1D34584E" w:rsidR="00AD46AD" w:rsidRPr="009A4E6E" w:rsidRDefault="00F24007" w:rsidP="00AD46AD">
      <w:pPr>
        <w:pStyle w:val="Standardparagraph"/>
        <w:rPr>
          <w:rFonts w:ascii="Arial Nova" w:hAnsi="Arial Nova" w:cs="HelveticaNeueLT Pro 55 Roman"/>
          <w:b/>
          <w:bCs/>
          <w:color w:val="7895CD"/>
          <w:sz w:val="40"/>
          <w:szCs w:val="40"/>
        </w:rPr>
      </w:pPr>
      <w:r w:rsidRPr="009A4E6E">
        <w:rPr>
          <w:rFonts w:ascii="Arial Nova" w:hAnsi="Arial Nova" w:cs="HelveticaNeueLT Pro 55 Roman"/>
          <w:b/>
          <w:bCs/>
          <w:color w:val="7895CD"/>
          <w:sz w:val="40"/>
          <w:szCs w:val="40"/>
        </w:rPr>
        <w:t>About Zenith Investment Partners</w:t>
      </w:r>
    </w:p>
    <w:p w14:paraId="144253DE" w14:textId="0E6A6936" w:rsidR="00F24007" w:rsidRDefault="00F24007" w:rsidP="00F24007">
      <w:pPr>
        <w:pStyle w:val="Pa0"/>
        <w:rPr>
          <w:color w:val="000000"/>
          <w:sz w:val="22"/>
          <w:szCs w:val="22"/>
          <w:lang w:val="en-GB"/>
        </w:rPr>
      </w:pPr>
      <w:r w:rsidRPr="002C3A4C">
        <w:rPr>
          <w:color w:val="000000"/>
          <w:sz w:val="22"/>
          <w:szCs w:val="22"/>
          <w:lang w:val="en-GB"/>
        </w:rPr>
        <w:t xml:space="preserve">Zenith Investment Partners is one of Australia’s most respected research and investment consultancies, with a 20-year track record of delivering premium investment research, fund ratings and investment portfolio solutions for financial advisers. </w:t>
      </w:r>
    </w:p>
    <w:p w14:paraId="4354A3BB" w14:textId="77777777" w:rsidR="002C3A4C" w:rsidRPr="002C3A4C" w:rsidRDefault="002C3A4C" w:rsidP="002C3A4C">
      <w:pPr>
        <w:pStyle w:val="Default"/>
        <w:rPr>
          <w:lang w:val="en-GB"/>
        </w:rPr>
      </w:pPr>
    </w:p>
    <w:p w14:paraId="4F9822F2" w14:textId="77777777" w:rsidR="00F24007" w:rsidRPr="002C3A4C" w:rsidRDefault="00F24007" w:rsidP="00F24007">
      <w:pPr>
        <w:pStyle w:val="Pa1"/>
        <w:spacing w:after="160"/>
        <w:rPr>
          <w:rFonts w:cs="HelveticaNeueLT Pro 55 Roman"/>
          <w:color w:val="000000"/>
          <w:sz w:val="22"/>
          <w:szCs w:val="22"/>
          <w:lang w:val="en-GB"/>
        </w:rPr>
      </w:pPr>
      <w:r w:rsidRPr="002C3A4C">
        <w:rPr>
          <w:rFonts w:cs="HelveticaNeueLT Pro 55 Roman"/>
          <w:color w:val="000000"/>
          <w:sz w:val="22"/>
          <w:szCs w:val="22"/>
          <w:lang w:val="en-GB"/>
        </w:rPr>
        <w:t xml:space="preserve">Today, Zenith support a rapidly growing number of advisers nationally with research ratings on over 1,000 investment products and managing more than 100 investment portfolio solutions for clients – both off-the-shelf and customised portfolios. Zenith is distinguished by the quality and stability of their in-house research team which also delivers critical inputs to the ongoing success of their managed portfolios consulting service. </w:t>
      </w:r>
    </w:p>
    <w:p w14:paraId="4F2079B3" w14:textId="1CA9436A" w:rsidR="00F24007" w:rsidRPr="002C3A4C" w:rsidRDefault="00F24007" w:rsidP="00F24007">
      <w:pPr>
        <w:pStyle w:val="Heading3"/>
        <w:spacing w:after="170"/>
        <w:rPr>
          <w:rFonts w:ascii="HelveticaNeueLT Pro 55 Roman" w:hAnsi="HelveticaNeueLT Pro 55 Roman" w:cs="HelveticaNeueLT Pro 55 Roman"/>
          <w:b w:val="0"/>
          <w:bCs w:val="0"/>
          <w:color w:val="000000"/>
          <w:spacing w:val="0"/>
          <w:sz w:val="22"/>
          <w:szCs w:val="22"/>
        </w:rPr>
      </w:pPr>
      <w:r w:rsidRPr="002C3A4C">
        <w:rPr>
          <w:rFonts w:ascii="HelveticaNeueLT Pro 55 Roman" w:hAnsi="HelveticaNeueLT Pro 55 Roman" w:cs="HelveticaNeueLT Pro 55 Roman"/>
          <w:b w:val="0"/>
          <w:bCs w:val="0"/>
          <w:color w:val="000000"/>
          <w:spacing w:val="0"/>
          <w:sz w:val="22"/>
          <w:szCs w:val="22"/>
        </w:rPr>
        <w:t>As one of the first multi-asset managed account providers in Australia, Zenith has built a wealth of knowledge on the development and management of managed accounts, currently managing over $</w:t>
      </w:r>
      <w:r w:rsidR="007A26EB">
        <w:rPr>
          <w:rFonts w:ascii="HelveticaNeueLT Pro 55 Roman" w:hAnsi="HelveticaNeueLT Pro 55 Roman" w:cs="HelveticaNeueLT Pro 55 Roman"/>
          <w:b w:val="0"/>
          <w:bCs w:val="0"/>
          <w:color w:val="000000"/>
          <w:spacing w:val="0"/>
          <w:sz w:val="22"/>
          <w:szCs w:val="22"/>
        </w:rPr>
        <w:t xml:space="preserve">5 </w:t>
      </w:r>
      <w:r w:rsidRPr="002C3A4C">
        <w:rPr>
          <w:rFonts w:ascii="HelveticaNeueLT Pro 55 Roman" w:hAnsi="HelveticaNeueLT Pro 55 Roman" w:cs="HelveticaNeueLT Pro 55 Roman"/>
          <w:b w:val="0"/>
          <w:bCs w:val="0"/>
          <w:color w:val="000000"/>
          <w:spacing w:val="0"/>
          <w:sz w:val="22"/>
          <w:szCs w:val="22"/>
        </w:rPr>
        <w:t xml:space="preserve">billion in client assets as of </w:t>
      </w:r>
      <w:r w:rsidR="007A26EB">
        <w:rPr>
          <w:rFonts w:ascii="HelveticaNeueLT Pro 55 Roman" w:hAnsi="HelveticaNeueLT Pro 55 Roman" w:cs="HelveticaNeueLT Pro 55 Roman"/>
          <w:b w:val="0"/>
          <w:bCs w:val="0"/>
          <w:color w:val="000000"/>
          <w:spacing w:val="0"/>
          <w:sz w:val="22"/>
          <w:szCs w:val="22"/>
        </w:rPr>
        <w:t>August 2024</w:t>
      </w:r>
      <w:r w:rsidRPr="002C3A4C">
        <w:rPr>
          <w:rFonts w:ascii="HelveticaNeueLT Pro 55 Roman" w:hAnsi="HelveticaNeueLT Pro 55 Roman" w:cs="HelveticaNeueLT Pro 55 Roman"/>
          <w:b w:val="0"/>
          <w:bCs w:val="0"/>
          <w:color w:val="000000"/>
          <w:spacing w:val="0"/>
          <w:sz w:val="22"/>
          <w:szCs w:val="22"/>
        </w:rPr>
        <w:t>.</w:t>
      </w:r>
    </w:p>
    <w:p w14:paraId="2CACFD8E" w14:textId="669A58D8" w:rsidR="00AD46AD" w:rsidRPr="00AD46AD" w:rsidRDefault="00AD46AD" w:rsidP="00AD46AD">
      <w:pPr>
        <w:pStyle w:val="Heading3"/>
        <w:spacing w:after="170"/>
        <w:rPr>
          <w:rFonts w:ascii="Arial Nova" w:hAnsi="Arial Nova"/>
        </w:rPr>
      </w:pPr>
      <w:r w:rsidRPr="00AD46AD">
        <w:rPr>
          <w:rFonts w:ascii="Arial Nova" w:hAnsi="Arial Nova"/>
        </w:rPr>
        <w:t>Wh</w:t>
      </w:r>
      <w:r w:rsidR="00E93652">
        <w:rPr>
          <w:rFonts w:ascii="Arial Nova" w:hAnsi="Arial Nova"/>
        </w:rPr>
        <w:t>y Zenith</w:t>
      </w:r>
      <w:r w:rsidRPr="00AD46AD">
        <w:rPr>
          <w:rFonts w:ascii="Arial Nova" w:hAnsi="Arial Nov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8681"/>
      </w:tblGrid>
      <w:tr w:rsidR="0028229C" w14:paraId="4D181BB5" w14:textId="77777777" w:rsidTr="00772BE1">
        <w:trPr>
          <w:trHeight w:val="1211"/>
        </w:trPr>
        <w:tc>
          <w:tcPr>
            <w:tcW w:w="582" w:type="dxa"/>
          </w:tcPr>
          <w:p w14:paraId="3C632E20" w14:textId="4313F247" w:rsidR="00AD46AD" w:rsidRDefault="008968B3" w:rsidP="00AD46AD">
            <w:pPr>
              <w:rPr>
                <w:rFonts w:ascii="HelveticaNeueLT Pro 55 Roman" w:hAnsi="HelveticaNeueLT Pro 55 Roman"/>
              </w:rPr>
            </w:pPr>
            <w:r>
              <w:rPr>
                <w:rFonts w:ascii="HelveticaNeueLT Pro 55 Roman" w:hAnsi="HelveticaNeueLT Pro 55 Roman"/>
                <w:noProof/>
              </w:rPr>
              <w:drawing>
                <wp:anchor distT="0" distB="0" distL="114300" distR="114300" simplePos="0" relativeHeight="251666432" behindDoc="1" locked="0" layoutInCell="1" allowOverlap="1" wp14:anchorId="0721645D" wp14:editId="4048E02C">
                  <wp:simplePos x="0" y="0"/>
                  <wp:positionH relativeFrom="column">
                    <wp:posOffset>24765</wp:posOffset>
                  </wp:positionH>
                  <wp:positionV relativeFrom="paragraph">
                    <wp:posOffset>48260</wp:posOffset>
                  </wp:positionV>
                  <wp:extent cx="257810" cy="265430"/>
                  <wp:effectExtent l="0" t="0" r="8890" b="1270"/>
                  <wp:wrapTight wrapText="bothSides">
                    <wp:wrapPolygon edited="0">
                      <wp:start x="0" y="0"/>
                      <wp:lineTo x="0" y="9301"/>
                      <wp:lineTo x="1596" y="20153"/>
                      <wp:lineTo x="19153" y="20153"/>
                      <wp:lineTo x="20749" y="9301"/>
                      <wp:lineTo x="207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9B784" w14:textId="3DF9EE4F" w:rsidR="003E41F3" w:rsidRDefault="003E41F3" w:rsidP="00AD46AD">
            <w:pPr>
              <w:rPr>
                <w:rFonts w:ascii="HelveticaNeueLT Pro 55 Roman" w:hAnsi="HelveticaNeueLT Pro 55 Roman"/>
              </w:rPr>
            </w:pPr>
          </w:p>
        </w:tc>
        <w:tc>
          <w:tcPr>
            <w:tcW w:w="8681" w:type="dxa"/>
          </w:tcPr>
          <w:p w14:paraId="6FF4BA8C" w14:textId="3A31EC16" w:rsidR="00AD46AD" w:rsidRPr="00086EDD" w:rsidRDefault="00086EDD" w:rsidP="00086EDD">
            <w:pPr>
              <w:pStyle w:val="Default"/>
              <w:rPr>
                <w:rFonts w:ascii="Kaleko 105" w:hAnsi="Kaleko 105" w:cs="Kaleko 105"/>
              </w:rPr>
            </w:pPr>
            <w:r w:rsidRPr="00086EDD">
              <w:rPr>
                <w:rFonts w:ascii="Arial Nova" w:hAnsi="Arial Nova"/>
                <w:b/>
                <w:bCs/>
                <w:color w:val="7895CD"/>
              </w:rPr>
              <w:t>Managed account expertise</w:t>
            </w:r>
          </w:p>
          <w:p w14:paraId="421224BC" w14:textId="0DF084FE" w:rsidR="00AD46AD" w:rsidRPr="00574B29" w:rsidRDefault="00570506" w:rsidP="00570506">
            <w:pPr>
              <w:pStyle w:val="Heading4"/>
              <w:rPr>
                <w:rFonts w:ascii="Arial Nova" w:eastAsiaTheme="minorHAnsi" w:hAnsi="Arial Nova" w:cs="HelveticaNeueLT Pro 55 Roman"/>
                <w:i w:val="0"/>
                <w:iCs w:val="0"/>
                <w:color w:val="000000"/>
                <w:sz w:val="20"/>
                <w:szCs w:val="20"/>
                <w:lang w:val="en-GB"/>
              </w:rPr>
            </w:pPr>
            <w:r w:rsidRPr="00570506">
              <w:rPr>
                <w:rFonts w:ascii="Arial Nova" w:eastAsiaTheme="minorHAnsi" w:hAnsi="Arial Nova" w:cs="HelveticaNeueLT Pro 55 Roman"/>
                <w:i w:val="0"/>
                <w:iCs w:val="0"/>
                <w:color w:val="000000"/>
                <w:sz w:val="20"/>
                <w:szCs w:val="20"/>
                <w:lang w:val="en-GB"/>
              </w:rPr>
              <w:t>For almost 15 years, Zenith has been building portfolios for advisers and running managed accounts for 10 years. With their experience and expertise, they help your adviser deliver well researched and thoughtfully constructed portfolios.</w:t>
            </w:r>
          </w:p>
        </w:tc>
      </w:tr>
      <w:tr w:rsidR="0028229C" w14:paraId="202CAA8B" w14:textId="77777777" w:rsidTr="00772BE1">
        <w:trPr>
          <w:trHeight w:val="1570"/>
        </w:trPr>
        <w:tc>
          <w:tcPr>
            <w:tcW w:w="582" w:type="dxa"/>
          </w:tcPr>
          <w:p w14:paraId="30EBDFAC" w14:textId="27B37B01" w:rsidR="00AD46AD" w:rsidRDefault="00EB1F87" w:rsidP="00AD46AD">
            <w:pPr>
              <w:rPr>
                <w:rFonts w:ascii="HelveticaNeueLT Pro 55 Roman" w:hAnsi="HelveticaNeueLT Pro 55 Roman"/>
              </w:rPr>
            </w:pPr>
            <w:r>
              <w:rPr>
                <w:rFonts w:ascii="HelveticaNeueLT Pro 55 Roman" w:hAnsi="HelveticaNeueLT Pro 55 Roman"/>
                <w:noProof/>
              </w:rPr>
              <w:drawing>
                <wp:inline distT="0" distB="0" distL="0" distR="0" wp14:anchorId="7028B034" wp14:editId="7B8BEB97">
                  <wp:extent cx="280670" cy="286236"/>
                  <wp:effectExtent l="0" t="0" r="5080" b="0"/>
                  <wp:docPr id="1411394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804" cy="290452"/>
                          </a:xfrm>
                          <a:prstGeom prst="rect">
                            <a:avLst/>
                          </a:prstGeom>
                          <a:noFill/>
                          <a:ln>
                            <a:noFill/>
                          </a:ln>
                        </pic:spPr>
                      </pic:pic>
                    </a:graphicData>
                  </a:graphic>
                </wp:inline>
              </w:drawing>
            </w:r>
          </w:p>
        </w:tc>
        <w:tc>
          <w:tcPr>
            <w:tcW w:w="8681" w:type="dxa"/>
          </w:tcPr>
          <w:p w14:paraId="19933AFF" w14:textId="048EBA40" w:rsidR="00AD46AD" w:rsidRPr="00AD46AD" w:rsidRDefault="00641D26" w:rsidP="00641D26">
            <w:pPr>
              <w:pStyle w:val="Heading4"/>
              <w:rPr>
                <w:rFonts w:ascii="Arial Nova" w:hAnsi="Arial Nova"/>
                <w:b/>
                <w:bCs/>
                <w:i w:val="0"/>
                <w:iCs w:val="0"/>
                <w:color w:val="7895CD"/>
              </w:rPr>
            </w:pPr>
            <w:r w:rsidRPr="00641D26">
              <w:rPr>
                <w:rFonts w:ascii="Arial Nova" w:eastAsiaTheme="minorHAnsi" w:hAnsi="Arial Nova" w:cs="HelveticaNeueLT Pro 55 Roman"/>
                <w:b/>
                <w:bCs/>
                <w:i w:val="0"/>
                <w:iCs w:val="0"/>
                <w:color w:val="7895CD"/>
                <w:sz w:val="24"/>
                <w:szCs w:val="24"/>
              </w:rPr>
              <w:t>Dedicated research team</w:t>
            </w:r>
          </w:p>
          <w:p w14:paraId="63F0990E" w14:textId="38994A6A" w:rsidR="00AD46AD" w:rsidRPr="00574B29" w:rsidRDefault="00641D26" w:rsidP="00641D26">
            <w:pPr>
              <w:pStyle w:val="Heading4"/>
              <w:rPr>
                <w:rFonts w:ascii="HelveticaNeueLT Pro 55 Roman" w:hAnsi="HelveticaNeueLT Pro 55 Roman" w:cs="HelveticaNeueLT Pro 55 Roman"/>
                <w:b/>
                <w:bCs/>
                <w:sz w:val="20"/>
                <w:szCs w:val="20"/>
              </w:rPr>
            </w:pPr>
            <w:r w:rsidRPr="00641D26">
              <w:rPr>
                <w:rFonts w:ascii="Arial Nova" w:eastAsiaTheme="minorHAnsi" w:hAnsi="Arial Nova"/>
                <w:i w:val="0"/>
                <w:iCs w:val="0"/>
                <w:color w:val="000000"/>
                <w:lang w:val="en-GB"/>
              </w:rPr>
              <w:t xml:space="preserve">Zenith’s dedicated and stable in-house research team provides extensive specialist knowledge that’s core to their managed account offering. With 20 research analysts, Zenith has the largest dedicated research team in the Australian market which your adviser has access to for </w:t>
            </w:r>
            <w:r w:rsidR="0029350D" w:rsidRPr="00641D26">
              <w:rPr>
                <w:rFonts w:ascii="Arial Nova" w:eastAsiaTheme="minorHAnsi" w:hAnsi="Arial Nova"/>
                <w:i w:val="0"/>
                <w:iCs w:val="0"/>
                <w:color w:val="000000"/>
                <w:lang w:val="en-GB"/>
              </w:rPr>
              <w:t>in-depth</w:t>
            </w:r>
            <w:r w:rsidRPr="00641D26">
              <w:rPr>
                <w:rFonts w:ascii="Arial Nova" w:eastAsiaTheme="minorHAnsi" w:hAnsi="Arial Nova"/>
                <w:i w:val="0"/>
                <w:iCs w:val="0"/>
                <w:color w:val="000000"/>
                <w:lang w:val="en-GB"/>
              </w:rPr>
              <w:t xml:space="preserve"> sector specific insights as required.</w:t>
            </w:r>
          </w:p>
        </w:tc>
      </w:tr>
      <w:tr w:rsidR="0028229C" w14:paraId="594CC8FB" w14:textId="77777777" w:rsidTr="00772BE1">
        <w:trPr>
          <w:trHeight w:val="1848"/>
        </w:trPr>
        <w:tc>
          <w:tcPr>
            <w:tcW w:w="582" w:type="dxa"/>
          </w:tcPr>
          <w:p w14:paraId="6C976505" w14:textId="22E96781" w:rsidR="00AD46AD" w:rsidRDefault="00EB1F87" w:rsidP="00AD46AD">
            <w:pPr>
              <w:rPr>
                <w:rFonts w:ascii="HelveticaNeueLT Pro 55 Roman" w:hAnsi="HelveticaNeueLT Pro 55 Roman"/>
              </w:rPr>
            </w:pPr>
            <w:r>
              <w:rPr>
                <w:rFonts w:ascii="HelveticaNeueLT Pro 55 Roman" w:hAnsi="HelveticaNeueLT Pro 55 Roman"/>
                <w:noProof/>
              </w:rPr>
              <w:drawing>
                <wp:inline distT="0" distB="0" distL="0" distR="0" wp14:anchorId="43E9E583" wp14:editId="155D2E82">
                  <wp:extent cx="266700" cy="244034"/>
                  <wp:effectExtent l="0" t="0" r="0" b="3810"/>
                  <wp:docPr id="816136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73" cy="245199"/>
                          </a:xfrm>
                          <a:prstGeom prst="rect">
                            <a:avLst/>
                          </a:prstGeom>
                          <a:noFill/>
                          <a:ln>
                            <a:noFill/>
                          </a:ln>
                        </pic:spPr>
                      </pic:pic>
                    </a:graphicData>
                  </a:graphic>
                </wp:inline>
              </w:drawing>
            </w:r>
          </w:p>
        </w:tc>
        <w:tc>
          <w:tcPr>
            <w:tcW w:w="8681" w:type="dxa"/>
          </w:tcPr>
          <w:p w14:paraId="37007512" w14:textId="54D9493A" w:rsidR="00AD46AD" w:rsidRPr="0029350D" w:rsidRDefault="0029350D" w:rsidP="0029350D">
            <w:pPr>
              <w:pStyle w:val="Default"/>
              <w:rPr>
                <w:rFonts w:ascii="Kaleko 105" w:hAnsi="Kaleko 105" w:cs="Kaleko 105"/>
              </w:rPr>
            </w:pPr>
            <w:r w:rsidRPr="0029350D">
              <w:rPr>
                <w:rFonts w:ascii="Arial Nova" w:hAnsi="Arial Nova"/>
                <w:b/>
                <w:bCs/>
                <w:color w:val="7895CD"/>
              </w:rPr>
              <w:t>Portfolio construction methodology</w:t>
            </w:r>
          </w:p>
          <w:p w14:paraId="070B5872" w14:textId="0F1CCDD6" w:rsidR="00AD46AD" w:rsidRPr="0088101B" w:rsidRDefault="0029350D" w:rsidP="0029350D">
            <w:pPr>
              <w:pStyle w:val="Heading4"/>
              <w:rPr>
                <w:rFonts w:ascii="HelveticaNeueLT Pro 55 Roman" w:hAnsi="HelveticaNeueLT Pro 55 Roman" w:cs="HelveticaNeueLT Pro 55 Roman"/>
                <w:b/>
                <w:bCs/>
                <w:sz w:val="20"/>
                <w:szCs w:val="20"/>
              </w:rPr>
            </w:pPr>
            <w:r w:rsidRPr="0029350D">
              <w:rPr>
                <w:rFonts w:ascii="Arial Nova" w:eastAsiaTheme="minorHAnsi" w:hAnsi="Arial Nova"/>
                <w:i w:val="0"/>
                <w:iCs w:val="0"/>
                <w:color w:val="000000"/>
                <w:lang w:val="en-GB"/>
              </w:rPr>
              <w:t>Zenith’s highly experienced consulting team build balanced and diversified portfolios, utilising sophisticated tools to ensure portfolios are free from style bias and minimise unintended risks. Quarterly Investment Committee meetings provide them with a formal opportunity to review the market outlook and identify any opportunities to enhance the portfolios.</w:t>
            </w:r>
          </w:p>
        </w:tc>
      </w:tr>
      <w:tr w:rsidR="0028229C" w14:paraId="1B7CF608" w14:textId="77777777" w:rsidTr="00772BE1">
        <w:trPr>
          <w:trHeight w:val="1286"/>
        </w:trPr>
        <w:tc>
          <w:tcPr>
            <w:tcW w:w="582" w:type="dxa"/>
          </w:tcPr>
          <w:p w14:paraId="71C72E88" w14:textId="1C290209" w:rsidR="00AD46AD" w:rsidRDefault="00B22DE9" w:rsidP="00AD46AD">
            <w:pPr>
              <w:rPr>
                <w:rFonts w:ascii="HelveticaNeueLT Pro 55 Roman" w:hAnsi="HelveticaNeueLT Pro 55 Roman"/>
              </w:rPr>
            </w:pPr>
            <w:r>
              <w:rPr>
                <w:rFonts w:ascii="HelveticaNeueLT Pro 55 Roman" w:hAnsi="HelveticaNeueLT Pro 55 Roman"/>
                <w:noProof/>
              </w:rPr>
              <w:drawing>
                <wp:inline distT="0" distB="0" distL="0" distR="0" wp14:anchorId="00F99AAA" wp14:editId="196A2969">
                  <wp:extent cx="280988" cy="280988"/>
                  <wp:effectExtent l="0" t="0" r="5080" b="5080"/>
                  <wp:docPr id="1487684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451" cy="282451"/>
                          </a:xfrm>
                          <a:prstGeom prst="rect">
                            <a:avLst/>
                          </a:prstGeom>
                          <a:noFill/>
                          <a:ln>
                            <a:noFill/>
                          </a:ln>
                        </pic:spPr>
                      </pic:pic>
                    </a:graphicData>
                  </a:graphic>
                </wp:inline>
              </w:drawing>
            </w:r>
          </w:p>
        </w:tc>
        <w:tc>
          <w:tcPr>
            <w:tcW w:w="8681" w:type="dxa"/>
          </w:tcPr>
          <w:p w14:paraId="04CE1921" w14:textId="5E02EFBF" w:rsidR="00AD46AD" w:rsidRPr="00AD46AD" w:rsidRDefault="00D8600F" w:rsidP="00D8600F">
            <w:pPr>
              <w:pStyle w:val="Heading4"/>
              <w:rPr>
                <w:rFonts w:ascii="Arial Nova" w:hAnsi="Arial Nova"/>
                <w:b/>
                <w:bCs/>
                <w:i w:val="0"/>
                <w:iCs w:val="0"/>
                <w:color w:val="7895CD"/>
              </w:rPr>
            </w:pPr>
            <w:r w:rsidRPr="00D8600F">
              <w:rPr>
                <w:rFonts w:ascii="Arial Nova" w:eastAsiaTheme="minorHAnsi" w:hAnsi="Arial Nova" w:cs="HelveticaNeueLT Pro 55 Roman"/>
                <w:b/>
                <w:bCs/>
                <w:i w:val="0"/>
                <w:iCs w:val="0"/>
                <w:color w:val="7895CD"/>
                <w:sz w:val="24"/>
                <w:szCs w:val="24"/>
              </w:rPr>
              <w:t>Macro outlook with an Australian investor lens</w:t>
            </w:r>
          </w:p>
          <w:p w14:paraId="01510016" w14:textId="6E71BF6A" w:rsidR="00AD46AD" w:rsidRPr="00D8600F" w:rsidRDefault="00D8600F" w:rsidP="00D8600F">
            <w:pPr>
              <w:pStyle w:val="Heading4"/>
              <w:rPr>
                <w:rFonts w:ascii="HelveticaNeueLT Pro 55 Roman" w:hAnsi="HelveticaNeueLT Pro 55 Roman" w:cs="HelveticaNeueLT Pro 55 Roman"/>
                <w:b/>
                <w:bCs/>
                <w:i w:val="0"/>
                <w:iCs w:val="0"/>
                <w:sz w:val="20"/>
                <w:szCs w:val="20"/>
              </w:rPr>
            </w:pPr>
            <w:r w:rsidRPr="00D8600F">
              <w:rPr>
                <w:rFonts w:ascii="Arial Nova" w:eastAsiaTheme="minorHAnsi" w:hAnsi="Arial Nova"/>
                <w:i w:val="0"/>
                <w:iCs w:val="0"/>
                <w:color w:val="000000"/>
                <w:lang w:val="en-GB"/>
              </w:rPr>
              <w:t>Zenith’s proprietary systems enable them to collect and make sense of macroeconomic data to help form their views and position portfolios accordingly to maximise returns and minimise risk, specific for the Australian investor.</w:t>
            </w:r>
          </w:p>
        </w:tc>
      </w:tr>
      <w:tr w:rsidR="0028229C" w14:paraId="1945BB8C" w14:textId="77777777" w:rsidTr="00772BE1">
        <w:trPr>
          <w:trHeight w:val="996"/>
        </w:trPr>
        <w:tc>
          <w:tcPr>
            <w:tcW w:w="582" w:type="dxa"/>
          </w:tcPr>
          <w:p w14:paraId="23F74090" w14:textId="0528AD3A" w:rsidR="00AD46AD" w:rsidRDefault="00531330" w:rsidP="00AD46AD">
            <w:pPr>
              <w:rPr>
                <w:rFonts w:ascii="HelveticaNeueLT Pro 55 Roman" w:hAnsi="HelveticaNeueLT Pro 55 Roman"/>
              </w:rPr>
            </w:pPr>
            <w:r>
              <w:rPr>
                <w:rFonts w:ascii="HelveticaNeueLT Pro 55 Roman" w:hAnsi="HelveticaNeueLT Pro 55 Roman"/>
                <w:noProof/>
              </w:rPr>
              <w:drawing>
                <wp:inline distT="0" distB="0" distL="0" distR="0" wp14:anchorId="0113B9DF" wp14:editId="5844777C">
                  <wp:extent cx="304800" cy="304800"/>
                  <wp:effectExtent l="0" t="0" r="0" b="0"/>
                  <wp:docPr id="1043102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980" cy="305980"/>
                          </a:xfrm>
                          <a:prstGeom prst="rect">
                            <a:avLst/>
                          </a:prstGeom>
                          <a:noFill/>
                          <a:ln>
                            <a:noFill/>
                          </a:ln>
                        </pic:spPr>
                      </pic:pic>
                    </a:graphicData>
                  </a:graphic>
                </wp:inline>
              </w:drawing>
            </w:r>
          </w:p>
        </w:tc>
        <w:tc>
          <w:tcPr>
            <w:tcW w:w="8681" w:type="dxa"/>
          </w:tcPr>
          <w:p w14:paraId="5CF57DC7" w14:textId="1AD11519" w:rsidR="009D4EF4" w:rsidRPr="00E13626" w:rsidRDefault="00E13626" w:rsidP="00E13626">
            <w:pPr>
              <w:pStyle w:val="Heading4"/>
              <w:rPr>
                <w:rFonts w:ascii="Arial Nova" w:eastAsiaTheme="minorHAnsi" w:hAnsi="Arial Nova" w:cs="HelveticaNeueLT Pro 55 Roman"/>
                <w:b/>
                <w:bCs/>
                <w:i w:val="0"/>
                <w:iCs w:val="0"/>
                <w:color w:val="7895CD"/>
                <w:sz w:val="24"/>
                <w:szCs w:val="24"/>
              </w:rPr>
            </w:pPr>
            <w:r w:rsidRPr="00E13626">
              <w:rPr>
                <w:rFonts w:ascii="Arial Nova" w:eastAsiaTheme="minorHAnsi" w:hAnsi="Arial Nova" w:cs="HelveticaNeueLT Pro 55 Roman"/>
                <w:b/>
                <w:bCs/>
                <w:i w:val="0"/>
                <w:iCs w:val="0"/>
                <w:color w:val="7895CD"/>
                <w:sz w:val="24"/>
                <w:szCs w:val="24"/>
              </w:rPr>
              <w:t xml:space="preserve">Meticulous portfolio monitoring and rebalancing </w:t>
            </w:r>
            <w:r w:rsidR="009D4EF4" w:rsidRPr="00E13626">
              <w:rPr>
                <w:rFonts w:ascii="Arial Nova" w:eastAsiaTheme="minorHAnsi" w:hAnsi="Arial Nova" w:cs="HelveticaNeueLT Pro 55 Roman"/>
                <w:b/>
                <w:bCs/>
                <w:i w:val="0"/>
                <w:iCs w:val="0"/>
                <w:color w:val="7895CD"/>
                <w:sz w:val="24"/>
                <w:szCs w:val="24"/>
              </w:rPr>
              <w:t xml:space="preserve"> </w:t>
            </w:r>
          </w:p>
          <w:p w14:paraId="5F74A75E" w14:textId="7D736514" w:rsidR="00AD46AD" w:rsidRPr="009D4EF4" w:rsidRDefault="00E13626" w:rsidP="00E13626">
            <w:pPr>
              <w:pStyle w:val="Standardparagraph"/>
              <w:rPr>
                <w:rFonts w:ascii="HelveticaNeueLT Pro 55 Roman" w:hAnsi="HelveticaNeueLT Pro 55 Roman" w:cs="HelveticaNeueLT Pro 55 Roman"/>
              </w:rPr>
            </w:pPr>
            <w:r w:rsidRPr="00E13626">
              <w:rPr>
                <w:rFonts w:ascii="Arial Nova" w:hAnsi="Arial Nova" w:cstheme="majorBidi"/>
                <w:sz w:val="22"/>
                <w:szCs w:val="22"/>
              </w:rPr>
              <w:t>All Zenith portfolios undergo constant and considered monitoring, with formal internal weekly reviews and quarterly reviews with your adviser. Our disciplined approach provides us with the opportunity to make any necessary portfolio decisions efficiently to optimise investment outcomes.</w:t>
            </w:r>
          </w:p>
        </w:tc>
      </w:tr>
      <w:tr w:rsidR="0028229C" w14:paraId="7208D5B2" w14:textId="77777777" w:rsidTr="00F8258E">
        <w:trPr>
          <w:trHeight w:val="917"/>
        </w:trPr>
        <w:tc>
          <w:tcPr>
            <w:tcW w:w="582" w:type="dxa"/>
          </w:tcPr>
          <w:p w14:paraId="2338A55B" w14:textId="43C674CE" w:rsidR="00AD46AD" w:rsidRDefault="00531330" w:rsidP="00AD46AD">
            <w:pPr>
              <w:rPr>
                <w:rFonts w:ascii="HelveticaNeueLT Pro 55 Roman" w:hAnsi="HelveticaNeueLT Pro 55 Roman"/>
              </w:rPr>
            </w:pPr>
            <w:r>
              <w:rPr>
                <w:rFonts w:ascii="HelveticaNeueLT Pro 55 Roman" w:hAnsi="HelveticaNeueLT Pro 55 Roman"/>
                <w:noProof/>
              </w:rPr>
              <w:drawing>
                <wp:inline distT="0" distB="0" distL="0" distR="0" wp14:anchorId="1B09CCA1" wp14:editId="6460104C">
                  <wp:extent cx="280988" cy="274620"/>
                  <wp:effectExtent l="0" t="0" r="5080" b="0"/>
                  <wp:docPr id="3862474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888" cy="278432"/>
                          </a:xfrm>
                          <a:prstGeom prst="rect">
                            <a:avLst/>
                          </a:prstGeom>
                          <a:noFill/>
                          <a:ln>
                            <a:noFill/>
                          </a:ln>
                        </pic:spPr>
                      </pic:pic>
                    </a:graphicData>
                  </a:graphic>
                </wp:inline>
              </w:drawing>
            </w:r>
          </w:p>
        </w:tc>
        <w:tc>
          <w:tcPr>
            <w:tcW w:w="8681" w:type="dxa"/>
          </w:tcPr>
          <w:p w14:paraId="75601111" w14:textId="1A2D6C53" w:rsidR="009D4EF4" w:rsidRPr="00DF08B8" w:rsidRDefault="00DF08B8" w:rsidP="00DF08B8">
            <w:pPr>
              <w:pStyle w:val="Heading4"/>
              <w:rPr>
                <w:rFonts w:ascii="Arial Nova" w:eastAsiaTheme="minorHAnsi" w:hAnsi="Arial Nova" w:cs="HelveticaNeueLT Pro 55 Roman"/>
                <w:b/>
                <w:bCs/>
                <w:i w:val="0"/>
                <w:iCs w:val="0"/>
                <w:color w:val="7895CD"/>
                <w:sz w:val="24"/>
                <w:szCs w:val="24"/>
              </w:rPr>
            </w:pPr>
            <w:r w:rsidRPr="00DF08B8">
              <w:rPr>
                <w:rFonts w:ascii="Arial Nova" w:eastAsiaTheme="minorHAnsi" w:hAnsi="Arial Nova" w:cs="HelveticaNeueLT Pro 55 Roman"/>
                <w:b/>
                <w:bCs/>
                <w:i w:val="0"/>
                <w:iCs w:val="0"/>
                <w:color w:val="7895CD"/>
                <w:sz w:val="24"/>
                <w:szCs w:val="24"/>
              </w:rPr>
              <w:t>‘Best of breed’ reporting</w:t>
            </w:r>
          </w:p>
          <w:p w14:paraId="4F2C5013" w14:textId="1BB5A58C" w:rsidR="009D4EF4" w:rsidRPr="009D4EF4" w:rsidRDefault="00DF08B8" w:rsidP="00DF08B8">
            <w:pPr>
              <w:pStyle w:val="Standardparagraph"/>
              <w:rPr>
                <w:rFonts w:ascii="HelveticaNeueLT Pro 55 Roman" w:hAnsi="HelveticaNeueLT Pro 55 Roman" w:cs="HelveticaNeueLT Pro 55 Roman"/>
              </w:rPr>
            </w:pPr>
            <w:r w:rsidRPr="00DF08B8">
              <w:rPr>
                <w:rFonts w:ascii="Arial Nova" w:hAnsi="Arial Nova" w:cstheme="majorBidi"/>
                <w:sz w:val="22"/>
                <w:szCs w:val="22"/>
              </w:rPr>
              <w:t>Your adviser has access to Zenith’s unique and leading technology portal where they can access Zenith’s suite of in-depth portfolio data and reports to help communicate how your portfolio is positioned and has been performing.</w:t>
            </w:r>
          </w:p>
        </w:tc>
      </w:tr>
    </w:tbl>
    <w:p w14:paraId="056C80DD" w14:textId="21A5989F" w:rsidR="00833826" w:rsidRPr="00833826" w:rsidRDefault="00833826" w:rsidP="00F8258E">
      <w:pPr>
        <w:tabs>
          <w:tab w:val="left" w:pos="2700"/>
        </w:tabs>
        <w:rPr>
          <w:rFonts w:ascii="HelveticaNeueLT Pro 55 Roman" w:hAnsi="HelveticaNeueLT Pro 55 Roman"/>
        </w:rPr>
      </w:pPr>
    </w:p>
    <w:sectPr w:rsidR="00833826" w:rsidRPr="00833826" w:rsidSect="000F4C92">
      <w:footerReference w:type="default" r:id="rId15"/>
      <w:pgSz w:w="11906" w:h="16838"/>
      <w:pgMar w:top="567" w:right="709" w:bottom="249" w:left="851" w:header="709"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B5B4" w14:textId="77777777" w:rsidR="00AD46AD" w:rsidRDefault="00AD46AD" w:rsidP="00AD46AD">
      <w:pPr>
        <w:spacing w:after="0" w:line="240" w:lineRule="auto"/>
      </w:pPr>
      <w:r>
        <w:separator/>
      </w:r>
    </w:p>
  </w:endnote>
  <w:endnote w:type="continuationSeparator" w:id="0">
    <w:p w14:paraId="770AE9C3" w14:textId="77777777" w:rsidR="00AD46AD" w:rsidRDefault="00AD46AD" w:rsidP="00AD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eko 105">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LT Std 55 Roman">
    <w:altName w:val="Arial"/>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1E3C" w14:textId="078FEC13" w:rsidR="00AD46AD" w:rsidRPr="00AD46AD" w:rsidRDefault="00AD46AD" w:rsidP="00AD46AD">
    <w:pPr>
      <w:pStyle w:val="BasicParagraph"/>
      <w:suppressAutoHyphens/>
      <w:rPr>
        <w:rFonts w:ascii="HelveticaNeueLT Pro 55 Roman" w:hAnsi="HelveticaNeueLT Pro 55 Roman" w:cs="HelveticaNeueLT Pro 55 Roman"/>
        <w:spacing w:val="-1"/>
        <w:sz w:val="14"/>
        <w:szCs w:val="14"/>
      </w:rPr>
    </w:pPr>
    <w:r>
      <w:rPr>
        <w:rFonts w:ascii="HelveticaNeueLT Pro 55 Roman" w:hAnsi="HelveticaNeueLT Pro 55 Roman" w:cs="HelveticaNeueLT Pro 55 Roman"/>
        <w:spacing w:val="-1"/>
        <w:sz w:val="14"/>
        <w:szCs w:val="14"/>
      </w:rPr>
      <w:t xml:space="preserve">Zenith Investment Partners (“Zenith”) (ABN 27 103 132 672, AFS Licence 226872) is the provider of General Advice (s766B Corporations Act 2001). General Advice provided by Zenith is limited to Wholesale clients only. This document has been prepared exclusively for Zenith clients without taking into account the objectives, financial situation or needs of any specific person who may read it, including target markets of financial products, where applicable. It is not a specific recommendation to purchase, sell or hold any relevant product(s) and is subject to change at any time without prior notice. Investors should seek their own independent financial advice before making any investment decision and should consider the appropriateness of any advice in this document in light of their own objectives, financial situation or needs. Investors should obtain a copy of, and consider, any relevant product PDS or offer document before making any decision and refer to the full Zenith Product Assessment/s available on the Zenith website. This document is subject to copyright and may not be reproduced, modified or distributed without the consent of the copyright owner. The information contained in this document has been prepared in good faith and is believed to be reliable at the time it was prepared, however, no representation, warranty or undertaking is given or made in relation to the accuracy or completeness of the information presented in this document.  Except for any liability which cannot be excluded, Zenith does not accept any liability, whether direct or indirect arising from the use of information contained in this document. Past performance is not an indication of future performance.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80CA2" w14:textId="77777777" w:rsidR="00AD46AD" w:rsidRDefault="00AD46AD" w:rsidP="00AD46AD">
      <w:pPr>
        <w:spacing w:after="0" w:line="240" w:lineRule="auto"/>
      </w:pPr>
      <w:r>
        <w:separator/>
      </w:r>
    </w:p>
  </w:footnote>
  <w:footnote w:type="continuationSeparator" w:id="0">
    <w:p w14:paraId="08A1001D" w14:textId="77777777" w:rsidR="00AD46AD" w:rsidRDefault="00AD46AD" w:rsidP="00AD4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AD"/>
    <w:rsid w:val="00086EDD"/>
    <w:rsid w:val="000F4C92"/>
    <w:rsid w:val="0016098F"/>
    <w:rsid w:val="00215C18"/>
    <w:rsid w:val="0028229C"/>
    <w:rsid w:val="0029350D"/>
    <w:rsid w:val="002C3A4C"/>
    <w:rsid w:val="00304B1C"/>
    <w:rsid w:val="003140D5"/>
    <w:rsid w:val="00324D62"/>
    <w:rsid w:val="00386A0B"/>
    <w:rsid w:val="003E41F3"/>
    <w:rsid w:val="00531330"/>
    <w:rsid w:val="00570506"/>
    <w:rsid w:val="00574B29"/>
    <w:rsid w:val="00600060"/>
    <w:rsid w:val="00641D26"/>
    <w:rsid w:val="006807B9"/>
    <w:rsid w:val="00753114"/>
    <w:rsid w:val="00772BE1"/>
    <w:rsid w:val="007A26EB"/>
    <w:rsid w:val="007D71D0"/>
    <w:rsid w:val="00833826"/>
    <w:rsid w:val="008769B8"/>
    <w:rsid w:val="0088101B"/>
    <w:rsid w:val="008968B3"/>
    <w:rsid w:val="008C2114"/>
    <w:rsid w:val="00956438"/>
    <w:rsid w:val="00996448"/>
    <w:rsid w:val="009A4E6E"/>
    <w:rsid w:val="009D4EF4"/>
    <w:rsid w:val="00AD46AD"/>
    <w:rsid w:val="00B22DE9"/>
    <w:rsid w:val="00D8600F"/>
    <w:rsid w:val="00DA5B14"/>
    <w:rsid w:val="00DD0A8B"/>
    <w:rsid w:val="00DF08B8"/>
    <w:rsid w:val="00E13626"/>
    <w:rsid w:val="00E93652"/>
    <w:rsid w:val="00EB0831"/>
    <w:rsid w:val="00EB1F87"/>
    <w:rsid w:val="00ED0732"/>
    <w:rsid w:val="00F24007"/>
    <w:rsid w:val="00F324E9"/>
    <w:rsid w:val="00F825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3D78C"/>
  <w15:chartTrackingRefBased/>
  <w15:docId w15:val="{FC412D3E-FED6-4B10-A79B-7F8B0DFD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9"/>
    <w:qFormat/>
    <w:rsid w:val="00AD46AD"/>
    <w:pPr>
      <w:suppressAutoHyphens/>
      <w:autoSpaceDE w:val="0"/>
      <w:autoSpaceDN w:val="0"/>
      <w:adjustRightInd w:val="0"/>
      <w:spacing w:after="0" w:line="280" w:lineRule="atLeast"/>
      <w:textAlignment w:val="center"/>
      <w:outlineLvl w:val="2"/>
    </w:pPr>
    <w:rPr>
      <w:rFonts w:ascii="Kaleko 105" w:hAnsi="Kaleko 105" w:cs="Kaleko 105"/>
      <w:b/>
      <w:bCs/>
      <w:color w:val="74BF43"/>
      <w:spacing w:val="-8"/>
      <w:sz w:val="26"/>
      <w:szCs w:val="26"/>
      <w:lang w:val="en-GB"/>
    </w:rPr>
  </w:style>
  <w:style w:type="paragraph" w:styleId="Heading4">
    <w:name w:val="heading 4"/>
    <w:basedOn w:val="Normal"/>
    <w:next w:val="Normal"/>
    <w:link w:val="Heading4Char"/>
    <w:uiPriority w:val="9"/>
    <w:unhideWhenUsed/>
    <w:qFormat/>
    <w:rsid w:val="00AD46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paragraph">
    <w:name w:val="Standard paragraph"/>
    <w:basedOn w:val="Normal"/>
    <w:uiPriority w:val="99"/>
    <w:rsid w:val="00AD46AD"/>
    <w:pPr>
      <w:suppressAutoHyphens/>
      <w:autoSpaceDE w:val="0"/>
      <w:autoSpaceDN w:val="0"/>
      <w:adjustRightInd w:val="0"/>
      <w:spacing w:after="170" w:line="240" w:lineRule="atLeast"/>
      <w:textAlignment w:val="center"/>
    </w:pPr>
    <w:rPr>
      <w:rFonts w:ascii="Helvetica Neue LT Std 55 Roman" w:hAnsi="Helvetica Neue LT Std 55 Roman" w:cs="Helvetica Neue LT Std 55 Roman"/>
      <w:color w:val="000000"/>
      <w:sz w:val="20"/>
      <w:szCs w:val="20"/>
      <w:lang w:val="en-GB"/>
    </w:rPr>
  </w:style>
  <w:style w:type="paragraph" w:styleId="Header">
    <w:name w:val="header"/>
    <w:basedOn w:val="Normal"/>
    <w:link w:val="HeaderChar"/>
    <w:uiPriority w:val="99"/>
    <w:unhideWhenUsed/>
    <w:rsid w:val="00AD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6AD"/>
  </w:style>
  <w:style w:type="paragraph" w:styleId="Footer">
    <w:name w:val="footer"/>
    <w:basedOn w:val="Normal"/>
    <w:link w:val="FooterChar"/>
    <w:uiPriority w:val="99"/>
    <w:unhideWhenUsed/>
    <w:rsid w:val="00AD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AD"/>
  </w:style>
  <w:style w:type="character" w:customStyle="1" w:styleId="Heading3Char">
    <w:name w:val="Heading 3 Char"/>
    <w:basedOn w:val="DefaultParagraphFont"/>
    <w:link w:val="Heading3"/>
    <w:uiPriority w:val="99"/>
    <w:rsid w:val="00AD46AD"/>
    <w:rPr>
      <w:rFonts w:ascii="Kaleko 105" w:hAnsi="Kaleko 105" w:cs="Kaleko 105"/>
      <w:b/>
      <w:bCs/>
      <w:color w:val="74BF43"/>
      <w:spacing w:val="-8"/>
      <w:sz w:val="26"/>
      <w:szCs w:val="26"/>
      <w:lang w:val="en-GB"/>
    </w:rPr>
  </w:style>
  <w:style w:type="table" w:styleId="TableGrid">
    <w:name w:val="Table Grid"/>
    <w:basedOn w:val="TableNormal"/>
    <w:uiPriority w:val="39"/>
    <w:rsid w:val="00AD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D46AD"/>
    <w:rPr>
      <w:rFonts w:asciiTheme="majorHAnsi" w:eastAsiaTheme="majorEastAsia" w:hAnsiTheme="majorHAnsi" w:cstheme="majorBidi"/>
      <w:i/>
      <w:iCs/>
      <w:color w:val="2F5496" w:themeColor="accent1" w:themeShade="BF"/>
    </w:rPr>
  </w:style>
  <w:style w:type="paragraph" w:customStyle="1" w:styleId="BasicParagraph">
    <w:name w:val="[Basic Paragraph]"/>
    <w:basedOn w:val="Normal"/>
    <w:uiPriority w:val="99"/>
    <w:rsid w:val="00AD46A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Default">
    <w:name w:val="Default"/>
    <w:rsid w:val="00F24007"/>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customStyle="1" w:styleId="Pa0">
    <w:name w:val="Pa0"/>
    <w:basedOn w:val="Default"/>
    <w:next w:val="Default"/>
    <w:uiPriority w:val="99"/>
    <w:rsid w:val="00F24007"/>
    <w:pPr>
      <w:spacing w:line="261" w:lineRule="atLeast"/>
    </w:pPr>
    <w:rPr>
      <w:rFonts w:cstheme="minorBidi"/>
      <w:color w:val="auto"/>
    </w:rPr>
  </w:style>
  <w:style w:type="character" w:customStyle="1" w:styleId="A0">
    <w:name w:val="A0"/>
    <w:uiPriority w:val="99"/>
    <w:rsid w:val="00F24007"/>
    <w:rPr>
      <w:rFonts w:cs="HelveticaNeueLT Pro 55 Roman"/>
      <w:color w:val="211D1E"/>
      <w:sz w:val="20"/>
      <w:szCs w:val="20"/>
    </w:rPr>
  </w:style>
  <w:style w:type="paragraph" w:customStyle="1" w:styleId="Pa1">
    <w:name w:val="Pa1"/>
    <w:basedOn w:val="Default"/>
    <w:next w:val="Default"/>
    <w:uiPriority w:val="99"/>
    <w:rsid w:val="00F24007"/>
    <w:pPr>
      <w:spacing w:line="201" w:lineRule="atLeast"/>
    </w:pPr>
    <w:rPr>
      <w:rFonts w:cstheme="minorBidi"/>
      <w:color w:val="auto"/>
    </w:rPr>
  </w:style>
  <w:style w:type="character" w:customStyle="1" w:styleId="A2">
    <w:name w:val="A2"/>
    <w:uiPriority w:val="99"/>
    <w:rsid w:val="00641D26"/>
    <w:rPr>
      <w:rFonts w:cs="Kaleko 105"/>
      <w:b/>
      <w:bCs/>
      <w:color w:val="6F91C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a18fce64-cfa6-4312-9a9c-9af21950b0e7" xsi:nil="true"/>
    <MigrationWizId xmlns="a18fce64-cfa6-4312-9a9c-9af21950b0e7" xsi:nil="true"/>
    <MigrationWizIdVersion xmlns="a18fce64-cfa6-4312-9a9c-9af21950b0e7" xsi:nil="true"/>
    <lcf76f155ced4ddcb4097134ff3c332f0 xmlns="a18fce64-cfa6-4312-9a9c-9af21950b0e7" xsi:nil="true"/>
    <lcf76f155ced4ddcb4097134ff3c332f xmlns="a18fce64-cfa6-4312-9a9c-9af21950b0e7">
      <Terms xmlns="http://schemas.microsoft.com/office/infopath/2007/PartnerControls"/>
    </lcf76f155ced4ddcb4097134ff3c332f>
    <TaxCatchAll xmlns="67280bec-054e-4340-8aed-ea7fc9f898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50D701DECE74B9DE2512865A18096" ma:contentTypeVersion="19" ma:contentTypeDescription="Create a new document." ma:contentTypeScope="" ma:versionID="1c5ed063c058708437056fb8eacdf2d9">
  <xsd:schema xmlns:xsd="http://www.w3.org/2001/XMLSchema" xmlns:xs="http://www.w3.org/2001/XMLSchema" xmlns:p="http://schemas.microsoft.com/office/2006/metadata/properties" xmlns:ns2="a18fce64-cfa6-4312-9a9c-9af21950b0e7" xmlns:ns3="67280bec-054e-4340-8aed-ea7fc9f89823" targetNamespace="http://schemas.microsoft.com/office/2006/metadata/properties" ma:root="true" ma:fieldsID="ab8cc2ec43db3f66e427592ab3228b09" ns2:_="" ns3:_="">
    <xsd:import namespace="a18fce64-cfa6-4312-9a9c-9af21950b0e7"/>
    <xsd:import namespace="67280bec-054e-4340-8aed-ea7fc9f8982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ce64-cfa6-4312-9a9c-9af21950b0e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f91254-fa5f-4406-888e-ea785428a7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80bec-054e-4340-8aed-ea7fc9f898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302f8a-788a-44b3-90c5-0b788aa2cbc9}" ma:internalName="TaxCatchAll" ma:showField="CatchAllData" ma:web="67280bec-054e-4340-8aed-ea7fc9f898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3DF44-1FAB-4AF7-B83E-0A5478D8D51C}">
  <ds:schemaRefs>
    <ds:schemaRef ds:uri="http://schemas.microsoft.com/office/2006/metadata/properties"/>
    <ds:schemaRef ds:uri="http://schemas.microsoft.com/office/infopath/2007/PartnerControls"/>
    <ds:schemaRef ds:uri="a18fce64-cfa6-4312-9a9c-9af21950b0e7"/>
    <ds:schemaRef ds:uri="67280bec-054e-4340-8aed-ea7fc9f89823"/>
  </ds:schemaRefs>
</ds:datastoreItem>
</file>

<file path=customXml/itemProps2.xml><?xml version="1.0" encoding="utf-8"?>
<ds:datastoreItem xmlns:ds="http://schemas.openxmlformats.org/officeDocument/2006/customXml" ds:itemID="{93669CE4-6F33-43E1-B3EF-01D40A834BF2}">
  <ds:schemaRefs>
    <ds:schemaRef ds:uri="http://schemas.microsoft.com/sharepoint/v3/contenttype/forms"/>
  </ds:schemaRefs>
</ds:datastoreItem>
</file>

<file path=customXml/itemProps3.xml><?xml version="1.0" encoding="utf-8"?>
<ds:datastoreItem xmlns:ds="http://schemas.openxmlformats.org/officeDocument/2006/customXml" ds:itemID="{E1932BF3-09DF-4719-9E02-1602D4109CFC}"/>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 Fundinfo</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Micich</dc:creator>
  <cp:keywords/>
  <dc:description/>
  <cp:lastModifiedBy>Darlene White</cp:lastModifiedBy>
  <cp:revision>3</cp:revision>
  <dcterms:created xsi:type="dcterms:W3CDTF">2024-09-26T04:35:00Z</dcterms:created>
  <dcterms:modified xsi:type="dcterms:W3CDTF">2024-09-26T04:36:00Z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0x010100BCE50D701DECE74B9DE2512865A18096</vt:lpwstr>
  </property>
  <property fmtid="{D5CDD505-2E9C-101B-9397-08002B2CF9AE}" pid="3" name="MediaServiceImageTags">
    <vt:lpwstr/>
  </property>
</Properties>
</file>